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ascii="黑体" w:hAnsi="黑体" w:eastAsia="黑体" w:cs="黑体"/>
          <w:color w:val="000000"/>
          <w:kern w:val="0"/>
          <w:sz w:val="36"/>
          <w:szCs w:val="36"/>
        </w:rPr>
      </w:pPr>
      <w:r>
        <w:rPr>
          <w:rFonts w:hint="eastAsia" w:ascii="黑体" w:hAnsi="黑体" w:eastAsia="黑体" w:cs="黑体"/>
          <w:color w:val="000000"/>
          <w:kern w:val="0"/>
          <w:sz w:val="36"/>
          <w:szCs w:val="36"/>
        </w:rPr>
        <w:t>附件1：</w:t>
      </w:r>
    </w:p>
    <w:p>
      <w:pPr>
        <w:widowControl/>
        <w:spacing w:line="500" w:lineRule="exact"/>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成都市第六人民医院2024-2027年度</w:t>
      </w:r>
    </w:p>
    <w:p>
      <w:pPr>
        <w:widowControl/>
        <w:spacing w:line="500" w:lineRule="exact"/>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安保服务项目采购需求</w:t>
      </w:r>
    </w:p>
    <w:p>
      <w:pPr>
        <w:widowControl/>
        <w:spacing w:line="500" w:lineRule="exact"/>
        <w:ind w:firstLine="562" w:firstLineChars="200"/>
        <w:jc w:val="left"/>
        <w:rPr>
          <w:rFonts w:ascii="黑体" w:hAnsi="黑体" w:eastAsia="黑体" w:cs="黑体"/>
          <w:b/>
          <w:bCs/>
          <w:color w:val="000000"/>
          <w:kern w:val="0"/>
          <w:sz w:val="28"/>
          <w:szCs w:val="28"/>
        </w:rPr>
      </w:pPr>
    </w:p>
    <w:p>
      <w:pPr>
        <w:widowControl/>
        <w:kinsoku w:val="0"/>
        <w:overflowPunct w:val="0"/>
        <w:spacing w:line="500" w:lineRule="exact"/>
        <w:ind w:firstLine="562" w:firstLineChars="200"/>
        <w:jc w:val="left"/>
        <w:rPr>
          <w:rFonts w:ascii="仿宋_GB2312" w:hAnsi="仿宋_GB2312" w:eastAsia="仿宋_GB2312" w:cs="仿宋_GB2312"/>
          <w:color w:val="000000"/>
          <w:kern w:val="0"/>
          <w:sz w:val="28"/>
          <w:szCs w:val="28"/>
        </w:rPr>
      </w:pPr>
      <w:r>
        <w:rPr>
          <w:rFonts w:hint="eastAsia" w:ascii="黑体" w:hAnsi="黑体" w:eastAsia="黑体" w:cs="黑体"/>
          <w:b/>
          <w:bCs/>
          <w:color w:val="000000"/>
          <w:kern w:val="0"/>
          <w:sz w:val="28"/>
          <w:szCs w:val="28"/>
        </w:rPr>
        <w:t>采购项目概况：</w:t>
      </w:r>
      <w:r>
        <w:rPr>
          <w:rFonts w:hint="eastAsia" w:ascii="仿宋_GB2312" w:hAnsi="仿宋_GB2312" w:eastAsia="仿宋_GB2312" w:cs="仿宋_GB2312"/>
          <w:color w:val="000000"/>
          <w:kern w:val="0"/>
          <w:sz w:val="28"/>
          <w:szCs w:val="28"/>
        </w:rPr>
        <w:t>成都市第六人民医院是成都市市管非营利性公立医院，分三个院区一病区。沙河院区位于建设南街16号，总建筑面积为31203㎡，开放床位800张；东虹院区位于东虹路39号，总建筑面积为38700</w:t>
      </w:r>
      <w:r>
        <w:rPr>
          <w:rFonts w:hint="eastAsia" w:ascii="仿宋_GB2312" w:hAnsi="仿宋_GB2312" w:eastAsia="仿宋_GB2312" w:cs="仿宋_GB2312"/>
          <w:kern w:val="0"/>
          <w:sz w:val="28"/>
          <w:szCs w:val="28"/>
        </w:rPr>
        <w:t>㎡，开放床位265张；金牛院区位于金牛区泉水路369号，计划2024年上半年开业，总建筑面积为136968.70㎡，其中地面面积84130.34㎡、地下面积52838.36㎡，编制床位900张；青龙场病区位于致强路247号，总建筑面积为4414㎡，开放床位135张。根据医院工作需要，成都市第六人民</w:t>
      </w:r>
      <w:r>
        <w:rPr>
          <w:rFonts w:hint="eastAsia" w:ascii="仿宋_GB2312" w:hAnsi="仿宋_GB2312" w:eastAsia="仿宋_GB2312" w:cs="仿宋_GB2312"/>
          <w:color w:val="000000"/>
          <w:kern w:val="0"/>
          <w:sz w:val="28"/>
          <w:szCs w:val="28"/>
        </w:rPr>
        <w:t>医院拟对安保服务进行采购。</w:t>
      </w:r>
    </w:p>
    <w:p>
      <w:pPr>
        <w:widowControl/>
        <w:spacing w:line="500" w:lineRule="exact"/>
        <w:ind w:firstLine="562" w:firstLineChars="200"/>
        <w:jc w:val="left"/>
        <w:rPr>
          <w:rFonts w:ascii="黑体" w:hAnsi="黑体" w:eastAsia="黑体" w:cs="黑体"/>
          <w:sz w:val="28"/>
          <w:szCs w:val="28"/>
        </w:rPr>
      </w:pPr>
      <w:r>
        <w:rPr>
          <w:rFonts w:hint="eastAsia" w:ascii="黑体" w:hAnsi="黑体" w:eastAsia="黑体" w:cs="黑体"/>
          <w:b/>
          <w:bCs/>
          <w:color w:val="000000"/>
          <w:kern w:val="0"/>
          <w:sz w:val="28"/>
          <w:szCs w:val="28"/>
        </w:rPr>
        <w:t>一、保安服务内容</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依照院方规定与管理要求，结合医院安全保卫工作实际情况，制订切实可行的医院安全保卫工作整体方案，开展专业化安全防范业务，具体管理内容如下：</w:t>
      </w:r>
    </w:p>
    <w:p>
      <w:pPr>
        <w:widowControl/>
        <w:numPr>
          <w:ilvl w:val="0"/>
          <w:numId w:val="1"/>
        </w:num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所有院区 24 小时门卫管理；</w:t>
      </w:r>
    </w:p>
    <w:p>
      <w:pPr>
        <w:widowControl/>
        <w:numPr>
          <w:ilvl w:val="0"/>
          <w:numId w:val="1"/>
        </w:num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医院院区内定时定点治安巡逻检查，重点部位的定点守护；</w:t>
      </w:r>
    </w:p>
    <w:p>
      <w:pPr>
        <w:widowControl/>
        <w:numPr>
          <w:ilvl w:val="0"/>
          <w:numId w:val="1"/>
        </w:numPr>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医院院区内消防、视频监控系统的 24 小时值守；</w:t>
      </w:r>
    </w:p>
    <w:p>
      <w:pPr>
        <w:widowControl/>
        <w:numPr>
          <w:ilvl w:val="0"/>
          <w:numId w:val="1"/>
        </w:num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医院重大活动的安全警戒与秩序维护，配合做好重大事件的治安保卫工作；</w:t>
      </w:r>
    </w:p>
    <w:p>
      <w:pPr>
        <w:widowControl/>
        <w:numPr>
          <w:ilvl w:val="0"/>
          <w:numId w:val="1"/>
        </w:num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配合安全保卫中心受理院区内各类纠纷和治安案件，配合院区对违规事件的调查处理，协助司法及公安机关对案件的排查取证；</w:t>
      </w:r>
    </w:p>
    <w:p>
      <w:pPr>
        <w:widowControl/>
        <w:numPr>
          <w:ilvl w:val="0"/>
          <w:numId w:val="1"/>
        </w:num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院区内突发事件处置、灾害预防、火灾扑救，发现和制止院区内暴力事件，随时准备提供紧急救助，有完善的群体性应急处置、自然灾害应急处置、消防安全应急处置、暴力伤医应急处置的预案和流程；</w:t>
      </w:r>
    </w:p>
    <w:p>
      <w:pPr>
        <w:widowControl/>
        <w:numPr>
          <w:ilvl w:val="0"/>
          <w:numId w:val="1"/>
        </w:num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医院院区内公共部位安全隐患检查、排除及上报；违规纠正；有针对性地开展安全教育和提示；</w:t>
      </w:r>
    </w:p>
    <w:p>
      <w:pPr>
        <w:widowControl/>
        <w:numPr>
          <w:ilvl w:val="0"/>
          <w:numId w:val="1"/>
        </w:num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与相关的职能科室、部门保持必要的工作沟通，形成群防群治体系；</w:t>
      </w:r>
    </w:p>
    <w:p>
      <w:pPr>
        <w:widowControl/>
        <w:numPr>
          <w:ilvl w:val="0"/>
          <w:numId w:val="1"/>
        </w:num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与辖区综治办、派出所、社区加强合作与交流，有完善的警医联动预案和流程；</w:t>
      </w:r>
    </w:p>
    <w:p>
      <w:pPr>
        <w:widowControl/>
        <w:numPr>
          <w:ilvl w:val="0"/>
          <w:numId w:val="1"/>
        </w:numPr>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医院院区内公共部位消防设施、器材的日常维护管理；</w:t>
      </w:r>
    </w:p>
    <w:p>
      <w:pPr>
        <w:pStyle w:val="2"/>
        <w:numPr>
          <w:ilvl w:val="0"/>
          <w:numId w:val="1"/>
        </w:numP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需配合上级政府各监督部门进行的各类安全检查，且要保证合同服务范围内的安全检查项目达标合格；</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（十二）上岗队员进行队列训练；体能训练；法律法规、礼节礼貌、保安条例等内容培训，每年组织不低于2次的消防演练、反恐防暴演练；</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（十三）当医院发生突发事件（包括治安事件、自然灾害等事件）院内在班保安力量不够时，供应商应立即调配应急队伍，到达医院事发现场参与事件处置，所有费用由供应商负责。</w:t>
      </w:r>
    </w:p>
    <w:p>
      <w:pPr>
        <w:pStyle w:val="2"/>
        <w:ind w:firstLine="560" w:firstLineChars="200"/>
        <w:rPr>
          <w:rFonts w:ascii="仿宋" w:hAnsi="仿宋" w:eastAsia="仿宋" w:cs="仿宋"/>
          <w:sz w:val="28"/>
          <w:szCs w:val="28"/>
        </w:rPr>
      </w:pPr>
      <w:r>
        <w:rPr>
          <w:rFonts w:hint="eastAsia" w:ascii="仿宋" w:hAnsi="仿宋" w:eastAsia="仿宋" w:cs="仿宋"/>
          <w:sz w:val="28"/>
          <w:szCs w:val="28"/>
        </w:rPr>
        <w:t>（十四）按时将每月工作月报、半年总结、年度总结及下一年计划（图文并茂及数据）上报院方。</w:t>
      </w:r>
    </w:p>
    <w:p>
      <w:pPr>
        <w:pStyle w:val="2"/>
        <w:ind w:firstLine="560" w:firstLineChars="200"/>
        <w:rPr>
          <w:color w:val="FF0000"/>
        </w:rPr>
      </w:pPr>
      <w:r>
        <w:rPr>
          <w:rFonts w:hint="eastAsia" w:ascii="仿宋_GB2312" w:hAnsi="仿宋_GB2312" w:eastAsia="仿宋_GB2312" w:cs="仿宋_GB2312"/>
          <w:color w:val="000000"/>
          <w:kern w:val="0"/>
          <w:sz w:val="28"/>
          <w:szCs w:val="28"/>
        </w:rPr>
        <w:t>（十五）以上列举工作为医院既往安保已知事项，并以此预算、结算费用。在今后实际工作中，根据政府新政策新要求，若完成其它属于安保服务范围内的新工作事项以及医院安全保卫中心临时交办的任务，</w:t>
      </w:r>
      <w:r>
        <w:rPr>
          <w:rFonts w:hint="eastAsia" w:ascii="仿宋" w:hAnsi="仿宋" w:eastAsia="仿宋" w:cs="仿宋"/>
          <w:sz w:val="28"/>
          <w:szCs w:val="28"/>
        </w:rPr>
        <w:t>则费用另算，计算方法为工作量、工作强度、工作人数结合工时单价：元/每小时/每人=保安队员岗位月单价报价</w:t>
      </w:r>
      <w:r>
        <w:rPr>
          <w:rFonts w:ascii="Arial" w:hAnsi="Arial" w:eastAsia="仿宋" w:cs="Arial"/>
          <w:sz w:val="28"/>
          <w:szCs w:val="28"/>
        </w:rPr>
        <w:t>÷</w:t>
      </w:r>
      <w:r>
        <w:rPr>
          <w:rFonts w:hint="eastAsia" w:ascii="仿宋" w:hAnsi="仿宋" w:eastAsia="仿宋" w:cs="仿宋"/>
          <w:sz w:val="28"/>
          <w:szCs w:val="28"/>
        </w:rPr>
        <w:t>22天</w:t>
      </w:r>
      <w:r>
        <w:rPr>
          <w:rFonts w:ascii="Arial" w:hAnsi="Arial" w:eastAsia="仿宋" w:cs="Arial"/>
          <w:sz w:val="28"/>
          <w:szCs w:val="28"/>
        </w:rPr>
        <w:t>÷</w:t>
      </w:r>
      <w:r>
        <w:rPr>
          <w:rFonts w:hint="eastAsia" w:ascii="仿宋" w:hAnsi="仿宋" w:eastAsia="仿宋" w:cs="仿宋"/>
          <w:sz w:val="28"/>
          <w:szCs w:val="28"/>
        </w:rPr>
        <w:t>8小时。</w:t>
      </w:r>
    </w:p>
    <w:p>
      <w:pPr>
        <w:widowControl/>
        <w:spacing w:line="500" w:lineRule="exact"/>
        <w:ind w:firstLine="562" w:firstLineChars="200"/>
        <w:jc w:val="left"/>
        <w:rPr>
          <w:rFonts w:ascii="黑体" w:hAnsi="黑体" w:eastAsia="黑体" w:cs="黑体"/>
          <w:sz w:val="28"/>
          <w:szCs w:val="28"/>
        </w:rPr>
      </w:pPr>
      <w:r>
        <w:rPr>
          <w:rFonts w:hint="eastAsia" w:ascii="黑体" w:hAnsi="黑体" w:eastAsia="黑体" w:cs="黑体"/>
          <w:b/>
          <w:bCs/>
          <w:color w:val="000000"/>
          <w:kern w:val="0"/>
          <w:sz w:val="28"/>
          <w:szCs w:val="28"/>
        </w:rPr>
        <w:t xml:space="preserve">二、服务质量要求 </w:t>
      </w:r>
      <w:bookmarkStart w:id="0" w:name="_GoBack"/>
      <w:bookmarkEnd w:id="0"/>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（一）质量目标要求制订切实可行的医院保安服务整体方案和应急预案，突发事件反应迅速，预案处置有力；依托行业标准，根据医院管理规定与服务要求，依法办事，文明值勤，严格管理。</w:t>
      </w:r>
    </w:p>
    <w:p>
      <w:pPr>
        <w:widowControl/>
        <w:spacing w:line="500" w:lineRule="exact"/>
        <w:ind w:left="42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（二）服务质量要求：</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1.树立“服务第一，用户至</w:t>
      </w:r>
      <w:r>
        <w:rPr>
          <w:rFonts w:hint="eastAsia" w:ascii="仿宋_GB2312" w:hAnsi="仿宋_GB2312" w:eastAsia="仿宋_GB2312" w:cs="仿宋_GB2312"/>
          <w:kern w:val="0"/>
          <w:sz w:val="28"/>
          <w:szCs w:val="28"/>
        </w:rPr>
        <w:t>上”的理念；</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2.管理要坚持原则、工作慎密严谨；服务要以人为本、主动热情；处理问题要高度警惕、有理有节；</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3.坚持原则，针对不同服务对象，区别对待，灵活操作，妥善处理；</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4.</w:t>
      </w:r>
      <w:r>
        <w:rPr>
          <w:rFonts w:hint="eastAsia" w:ascii="仿宋_GB2312" w:hAnsi="仿宋_GB2312" w:eastAsia="仿宋_GB2312" w:cs="仿宋_GB2312"/>
          <w:kern w:val="0"/>
          <w:sz w:val="28"/>
          <w:szCs w:val="28"/>
        </w:rPr>
        <w:t>在</w:t>
      </w:r>
      <w:r>
        <w:rPr>
          <w:rFonts w:hint="eastAsia" w:ascii="仿宋_GB2312" w:hAnsi="仿宋_GB2312" w:eastAsia="仿宋_GB2312" w:cs="仿宋_GB2312"/>
          <w:color w:val="000000"/>
          <w:kern w:val="0"/>
          <w:sz w:val="28"/>
          <w:szCs w:val="28"/>
        </w:rPr>
        <w:t>岗人员仪表整洁，统一着装，挂牌上岗，规范管理，礼貌待人，保持岗位卫生整洁；</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5.依法办事，文明值勤，不与病员发生争吵或冲突，坚决作到打不还手、骂不还口；</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6.有求必应，有警必出。</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（三）队伍建设与管理要求</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1.从招标人安全实际出发，经常性开展在岗人员业务培训和紧急预案演练；</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2.内部管理体制及规章制度健全；</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3.定期向院方安全保卫中心汇报工作开展情况及治安信息，重大情况及时报告；</w:t>
      </w:r>
    </w:p>
    <w:p>
      <w:pPr>
        <w:widowControl/>
        <w:spacing w:line="50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4.中标人在自主用工的同时，采取切实有效措施维护保安队伍的稳定，严格控制非违纪原因的人员轮换比例，合同期限内不超过 30％；主要管理员更换，应提前一个月以书面形式通知院方，其他队员更换要提前三天通知院方；做出的承诺必须兑现；确保服务质量不因人员变动而受影响；</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5.保安应聘、录用、离职等管理档案规范，手续齐全，并交院方备案；非本市户口从业保安应主动接受当地公安机关暂住证的办理和暂住人口的管理。</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6.保安队员上岗前应经符合岗位特点的专业技能、业务知识、文明礼仪等各方面培训，培训合格并经院方面试同意后方可上岗；保安队伍花名册、身份证复印件（加盖公司鲜章）、保安证复印件（加盖公司鲜章）须报院方备案。</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7.中标人在入场前须按照招标文件要求做好人员、物资准备，熟悉医院环境，积极与医院接洽，做好工作交接预案和流程，确保工作平稳交接、顺利过渡。</w:t>
      </w:r>
    </w:p>
    <w:p>
      <w:pPr>
        <w:widowControl/>
        <w:spacing w:line="500" w:lineRule="exact"/>
        <w:ind w:firstLine="562" w:firstLineChars="200"/>
        <w:jc w:val="left"/>
        <w:rPr>
          <w:rFonts w:ascii="黑体" w:hAnsi="黑体" w:eastAsia="黑体" w:cs="黑体"/>
          <w:sz w:val="28"/>
          <w:szCs w:val="28"/>
        </w:rPr>
      </w:pPr>
      <w:r>
        <w:rPr>
          <w:rFonts w:hint="eastAsia" w:ascii="黑体" w:hAnsi="黑体" w:eastAsia="黑体" w:cs="黑体"/>
          <w:b/>
          <w:bCs/>
          <w:color w:val="000000"/>
          <w:kern w:val="0"/>
          <w:sz w:val="28"/>
          <w:szCs w:val="28"/>
        </w:rPr>
        <w:t>三、装备及服装要求</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（一）个人装备（每人）：防暴头盔、防刺背心、防割手套、对讲机、伸缩警棍、防暴自卫喷射器、盾牌、胶木棍、巡逻用手电。</w:t>
      </w:r>
    </w:p>
    <w:p>
      <w:pPr>
        <w:widowControl/>
        <w:spacing w:line="500" w:lineRule="exact"/>
        <w:ind w:firstLine="560" w:firstLineChars="200"/>
        <w:jc w:val="left"/>
        <w:rPr>
          <w:rFonts w:ascii="仿宋_GB2312" w:hAnsi="仿宋_GB2312" w:eastAsia="仿宋_GB2312" w:cs="仿宋_GB2312"/>
          <w:color w:val="FF0000"/>
          <w:sz w:val="28"/>
          <w:szCs w:val="28"/>
        </w:rPr>
      </w:pPr>
      <w:r>
        <w:rPr>
          <w:rFonts w:hint="eastAsia" w:ascii="仿宋_GB2312" w:hAnsi="仿宋_GB2312" w:eastAsia="仿宋_GB2312" w:cs="仿宋_GB2312"/>
          <w:color w:val="000000"/>
          <w:kern w:val="0"/>
          <w:sz w:val="28"/>
          <w:szCs w:val="28"/>
        </w:rPr>
        <w:t>（二）防暴装</w:t>
      </w:r>
      <w:r>
        <w:rPr>
          <w:rFonts w:hint="eastAsia" w:ascii="仿宋_GB2312" w:hAnsi="仿宋_GB2312" w:eastAsia="仿宋_GB2312" w:cs="仿宋_GB2312"/>
          <w:kern w:val="0"/>
          <w:sz w:val="28"/>
          <w:szCs w:val="28"/>
        </w:rPr>
        <w:t>备（只限于金牛院区，沙河院区、东虹院区、青龙场病区由采购人配置）：防暴钢叉（4 根</w:t>
      </w:r>
      <w:r>
        <w:rPr>
          <w:rFonts w:hint="eastAsia" w:ascii="仿宋_GB2312" w:hAnsi="仿宋_GB2312" w:eastAsia="仿宋_GB2312" w:cs="仿宋_GB2312"/>
          <w:color w:val="000000"/>
          <w:kern w:val="0"/>
          <w:sz w:val="28"/>
          <w:szCs w:val="28"/>
        </w:rPr>
        <w:t>）、锁脚器（2根）、执法记录仪（15台）。</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（三）日常服装要求：春秋季着长袖黑色特勤服套装，黑色高帮作训鞋，黑色武装带；夏季着短袖黑色特勤服套装，黑色高帮作训鞋，黑色武装带；冬季着夹克式黑色特勤服套装，黑色高帮战术靴，黑色武装带。</w:t>
      </w:r>
    </w:p>
    <w:p>
      <w:pPr>
        <w:widowControl/>
        <w:spacing w:line="50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（四）物资、装备、器材及服装均由中标人提供。</w:t>
      </w:r>
    </w:p>
    <w:p>
      <w:pPr>
        <w:pStyle w:val="2"/>
        <w:ind w:firstLine="560" w:firstLineChars="200"/>
        <w:rPr>
          <w:rFonts w:eastAsia="仿宋"/>
        </w:rPr>
      </w:pPr>
      <w:r>
        <w:rPr>
          <w:rFonts w:hint="eastAsia" w:ascii="仿宋" w:hAnsi="仿宋" w:eastAsia="仿宋" w:cs="仿宋"/>
          <w:sz w:val="28"/>
          <w:szCs w:val="28"/>
        </w:rPr>
        <w:t>（五）采购人提供办公区域，供应商自行提供相应的办公用品，如电脑、打印机、复印机等。</w:t>
      </w:r>
    </w:p>
    <w:p>
      <w:pPr>
        <w:widowControl/>
        <w:spacing w:line="500" w:lineRule="exact"/>
        <w:ind w:firstLine="562" w:firstLineChars="200"/>
        <w:jc w:val="left"/>
        <w:rPr>
          <w:rFonts w:ascii="黑体" w:hAnsi="黑体" w:eastAsia="黑体" w:cs="黑体"/>
          <w:sz w:val="28"/>
          <w:szCs w:val="28"/>
        </w:rPr>
      </w:pPr>
      <w:r>
        <w:rPr>
          <w:rFonts w:hint="eastAsia" w:ascii="黑体" w:hAnsi="黑体" w:eastAsia="黑体" w:cs="黑体"/>
          <w:b/>
          <w:bCs/>
          <w:color w:val="000000"/>
          <w:kern w:val="0"/>
          <w:sz w:val="28"/>
          <w:szCs w:val="28"/>
        </w:rPr>
        <w:t>四、人员要求</w:t>
      </w:r>
    </w:p>
    <w:p>
      <w:pPr>
        <w:widowControl/>
        <w:jc w:val="left"/>
        <w:rPr>
          <w:rFonts w:ascii="仿宋" w:hAnsi="仿宋" w:eastAsia="仿宋" w:cs="仿宋"/>
          <w:sz w:val="28"/>
          <w:szCs w:val="28"/>
        </w:rPr>
      </w:pPr>
      <w:r>
        <w:rPr>
          <w:rFonts w:hint="eastAsia" w:ascii="仿宋" w:hAnsi="仿宋" w:eastAsia="仿宋" w:cs="仿宋"/>
          <w:sz w:val="28"/>
          <w:szCs w:val="28"/>
        </w:rPr>
        <w:t>（一）岗位配置要求：岗位人数配置总数至少81人，每个岗位的人员配置标准必须满足下表要求和《劳动法》要求。因金牛院区为在建院区，计划 2024 年开业，根据医院发展要求，逐步开科，实际配置的服务岗位人数根据采购人工作需求安排配置，服务费按实际需要的岗位人数及岗位月服务费、到岗时间据实支付服务费。</w:t>
      </w:r>
    </w:p>
    <w:p>
      <w:pPr>
        <w:pStyle w:val="2"/>
        <w:spacing w:line="360" w:lineRule="exact"/>
        <w:ind w:firstLine="560" w:firstLineChars="200"/>
        <w:rPr>
          <w:rFonts w:ascii="仿宋" w:hAnsi="仿宋" w:eastAsia="仿宋" w:cs="仿宋"/>
          <w:sz w:val="28"/>
          <w:szCs w:val="28"/>
        </w:rPr>
      </w:pPr>
    </w:p>
    <w:tbl>
      <w:tblPr>
        <w:tblStyle w:val="6"/>
        <w:tblW w:w="8646" w:type="dxa"/>
        <w:tblInd w:w="93" w:type="dxa"/>
        <w:tblLayout w:type="fixed"/>
        <w:tblCellMar>
          <w:top w:w="0" w:type="dxa"/>
          <w:left w:w="108" w:type="dxa"/>
          <w:bottom w:w="0" w:type="dxa"/>
          <w:right w:w="108" w:type="dxa"/>
        </w:tblCellMar>
      </w:tblPr>
      <w:tblGrid>
        <w:gridCol w:w="756"/>
        <w:gridCol w:w="814"/>
        <w:gridCol w:w="3299"/>
        <w:gridCol w:w="1206"/>
        <w:gridCol w:w="1151"/>
        <w:gridCol w:w="715"/>
        <w:gridCol w:w="705"/>
      </w:tblGrid>
      <w:tr>
        <w:tblPrEx>
          <w:tblCellMar>
            <w:top w:w="0" w:type="dxa"/>
            <w:left w:w="108" w:type="dxa"/>
            <w:bottom w:w="0" w:type="dxa"/>
            <w:right w:w="108" w:type="dxa"/>
          </w:tblCellMar>
        </w:tblPrEx>
        <w:trPr>
          <w:trHeight w:val="7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2"/>
                <w:szCs w:val="22"/>
              </w:rPr>
            </w:pPr>
            <w:r>
              <w:rPr>
                <w:rFonts w:hint="eastAsia" w:ascii="黑体" w:hAnsi="宋体" w:eastAsia="黑体" w:cs="黑体"/>
                <w:b/>
                <w:bCs/>
                <w:color w:val="000000"/>
                <w:kern w:val="0"/>
                <w:sz w:val="22"/>
                <w:szCs w:val="22"/>
              </w:rPr>
              <w:t>院区</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岗位</w:t>
            </w:r>
          </w:p>
        </w:tc>
        <w:tc>
          <w:tcPr>
            <w:tcW w:w="3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点 位</w:t>
            </w:r>
          </w:p>
        </w:tc>
        <w:tc>
          <w:tcPr>
            <w:tcW w:w="23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岗位人数</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2"/>
                <w:szCs w:val="22"/>
              </w:rPr>
            </w:pPr>
            <w:r>
              <w:rPr>
                <w:rFonts w:hint="eastAsia" w:ascii="黑体" w:hAnsi="宋体" w:eastAsia="黑体" w:cs="黑体"/>
                <w:b/>
                <w:bCs/>
                <w:color w:val="000000"/>
                <w:kern w:val="0"/>
                <w:sz w:val="22"/>
                <w:szCs w:val="22"/>
              </w:rPr>
              <w:t>所需人数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2"/>
                <w:szCs w:val="22"/>
              </w:rPr>
            </w:pPr>
            <w:r>
              <w:rPr>
                <w:rFonts w:hint="eastAsia" w:ascii="黑体" w:hAnsi="宋体" w:eastAsia="黑体" w:cs="黑体"/>
                <w:b/>
                <w:bCs/>
                <w:color w:val="000000"/>
                <w:kern w:val="0"/>
                <w:sz w:val="22"/>
                <w:szCs w:val="22"/>
              </w:rPr>
              <w:t>合计人数</w:t>
            </w:r>
          </w:p>
        </w:tc>
      </w:tr>
      <w:tr>
        <w:tblPrEx>
          <w:tblCellMar>
            <w:top w:w="0" w:type="dxa"/>
            <w:left w:w="108" w:type="dxa"/>
            <w:bottom w:w="0" w:type="dxa"/>
            <w:right w:w="108" w:type="dxa"/>
          </w:tblCellMar>
        </w:tblPrEx>
        <w:trPr>
          <w:trHeight w:val="400"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金牛院区</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保安队员</w:t>
            </w:r>
          </w:p>
        </w:tc>
        <w:tc>
          <w:tcPr>
            <w:tcW w:w="329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视频消防监控室</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705" w:type="dxa"/>
            <w:vMerge w:val="restart"/>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38</w:t>
            </w: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29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停车场</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705"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29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东门（正大门）</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705"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29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北大门（急诊外）</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705"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29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西门（后门）</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705"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29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行政楼</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1人×1班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白班</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705"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29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急诊大厅</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705"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29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门诊1楼大厅</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1人×1班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白班</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705"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29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负一楼、外围、行政楼巡逻</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705"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29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门诊一、二、三楼巡逻</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705"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29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门诊四、五、六、七楼巡逻</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705"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29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住院八、九、十一、十二楼巡逻</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705"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沙河院区</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保安队员</w:t>
            </w:r>
          </w:p>
        </w:tc>
        <w:tc>
          <w:tcPr>
            <w:tcW w:w="329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视频消防监控室</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大门</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急诊、门诊一楼</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院区内巡逻</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东虹院区</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保安队员</w:t>
            </w:r>
          </w:p>
        </w:tc>
        <w:tc>
          <w:tcPr>
            <w:tcW w:w="329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视频消防监控室</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大门</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地下停车场大门</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急诊</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院区内巡逻</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2人×1班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青龙场</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病区</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保安队员</w:t>
            </w:r>
          </w:p>
        </w:tc>
        <w:tc>
          <w:tcPr>
            <w:tcW w:w="3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大门</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院区内巡逻</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1人×3班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24小时制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院区内巡逻（白班）</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1人×1班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白班</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_GB2312" w:hAnsi="等线" w:eastAsia="仿宋_GB2312" w:cs="仿宋_GB2312"/>
                <w:color w:val="000000"/>
                <w:sz w:val="22"/>
                <w:szCs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sz w:val="22"/>
                <w:szCs w:val="22"/>
              </w:rPr>
            </w:pPr>
            <w:r>
              <w:rPr>
                <w:rFonts w:hint="eastAsia" w:ascii="仿宋_GB2312" w:hAnsi="等线" w:eastAsia="仿宋_GB2312" w:cs="仿宋_GB2312"/>
                <w:color w:val="000000"/>
                <w:kern w:val="0"/>
                <w:sz w:val="22"/>
                <w:szCs w:val="22"/>
              </w:rPr>
              <w:t>队长</w:t>
            </w:r>
          </w:p>
        </w:tc>
        <w:tc>
          <w:tcPr>
            <w:tcW w:w="32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660" w:firstLineChars="300"/>
              <w:rPr>
                <w:rFonts w:ascii="仿宋_GB2312" w:hAnsi="等线" w:eastAsia="仿宋_GB2312" w:cs="仿宋_GB2312"/>
                <w:color w:val="000000"/>
                <w:sz w:val="22"/>
                <w:szCs w:val="22"/>
              </w:rPr>
            </w:pPr>
            <w:r>
              <w:rPr>
                <w:rFonts w:hint="eastAsia" w:ascii="宋体" w:hAnsi="宋体" w:eastAsia="宋体" w:cs="宋体"/>
                <w:color w:val="000000"/>
                <w:kern w:val="0"/>
                <w:sz w:val="22"/>
                <w:szCs w:val="22"/>
              </w:rPr>
              <w:t>对各队员进行管理</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_GB2312" w:hAnsi="等线" w:eastAsia="仿宋_GB2312" w:cs="仿宋_GB2312"/>
                <w:color w:val="000000"/>
                <w:sz w:val="22"/>
                <w:szCs w:val="22"/>
              </w:rPr>
            </w:pPr>
            <w:r>
              <w:rPr>
                <w:rFonts w:hint="eastAsia" w:ascii="仿宋_GB2312" w:hAnsi="等线" w:eastAsia="仿宋_GB2312" w:cs="仿宋_GB2312"/>
                <w:color w:val="000000"/>
                <w:kern w:val="0"/>
                <w:sz w:val="22"/>
                <w:szCs w:val="22"/>
              </w:rPr>
              <w:t>1人×1班</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白班</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_GB2312" w:hAnsi="等线" w:eastAsia="仿宋_GB2312" w:cs="仿宋_GB2312"/>
                <w:color w:val="000000"/>
                <w:sz w:val="22"/>
                <w:szCs w:val="22"/>
              </w:rPr>
            </w:pPr>
            <w:r>
              <w:rPr>
                <w:rFonts w:hint="eastAsia" w:ascii="仿宋_GB2312" w:hAnsi="等线" w:eastAsia="仿宋_GB2312" w:cs="仿宋_GB2312"/>
                <w:color w:val="000000"/>
                <w:kern w:val="0"/>
                <w:sz w:val="22"/>
                <w:szCs w:val="22"/>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sz w:val="22"/>
                <w:szCs w:val="22"/>
              </w:rPr>
            </w:pPr>
            <w:r>
              <w:rPr>
                <w:rFonts w:hint="eastAsia" w:ascii="仿宋_GB2312" w:hAnsi="等线" w:eastAsia="仿宋_GB2312" w:cs="仿宋_GB2312"/>
                <w:color w:val="000000"/>
                <w:kern w:val="0"/>
                <w:sz w:val="22"/>
                <w:szCs w:val="22"/>
              </w:rPr>
              <w:t>1</w:t>
            </w:r>
          </w:p>
        </w:tc>
      </w:tr>
      <w:tr>
        <w:tblPrEx>
          <w:tblCellMar>
            <w:top w:w="0" w:type="dxa"/>
            <w:left w:w="108" w:type="dxa"/>
            <w:bottom w:w="0" w:type="dxa"/>
            <w:right w:w="108" w:type="dxa"/>
          </w:tblCellMar>
        </w:tblPrEx>
        <w:trPr>
          <w:trHeight w:val="640" w:hRule="atLeast"/>
        </w:trPr>
        <w:tc>
          <w:tcPr>
            <w:tcW w:w="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合计：</w:t>
            </w:r>
          </w:p>
        </w:tc>
        <w:tc>
          <w:tcPr>
            <w:tcW w:w="81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ascii="黑体" w:hAnsi="宋体" w:eastAsia="黑体" w:cs="黑体"/>
                <w:color w:val="000000"/>
                <w:sz w:val="22"/>
                <w:szCs w:val="22"/>
              </w:rPr>
            </w:pPr>
          </w:p>
        </w:tc>
        <w:tc>
          <w:tcPr>
            <w:tcW w:w="329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ascii="黑体" w:hAnsi="宋体" w:eastAsia="黑体" w:cs="黑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ascii="黑体" w:hAnsi="宋体" w:eastAsia="黑体" w:cs="黑体"/>
                <w:color w:val="000000"/>
                <w:sz w:val="22"/>
                <w:szCs w:val="22"/>
              </w:rPr>
            </w:pPr>
          </w:p>
        </w:tc>
        <w:tc>
          <w:tcPr>
            <w:tcW w:w="1151"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ascii="黑体" w:hAnsi="宋体" w:eastAsia="黑体" w:cs="黑体"/>
                <w:color w:val="000000"/>
                <w:sz w:val="22"/>
                <w:szCs w:val="22"/>
              </w:rPr>
            </w:pPr>
          </w:p>
        </w:tc>
        <w:tc>
          <w:tcPr>
            <w:tcW w:w="71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81</w:t>
            </w:r>
          </w:p>
        </w:tc>
        <w:tc>
          <w:tcPr>
            <w:tcW w:w="70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81</w:t>
            </w:r>
          </w:p>
        </w:tc>
      </w:tr>
    </w:tbl>
    <w:p>
      <w:pPr>
        <w:pStyle w:val="5"/>
        <w:ind w:firstLine="210"/>
      </w:pP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 xml:space="preserve">（二）人员条件 </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1.保安队员：身高1.70米以上，视频消防监控室保安队员年龄在55岁以下，其他保安队员年龄在48岁以下。承诺中标后，上岗前，持所有队员公安机关颁发的保安员证到采购人单位备案。</w:t>
      </w:r>
      <w:r>
        <w:rPr>
          <w:rFonts w:hint="eastAsia" w:ascii="仿宋_GB2312" w:hAnsi="仿宋_GB2312" w:eastAsia="仿宋_GB2312" w:cs="仿宋_GB2312"/>
          <w:b/>
          <w:bCs/>
          <w:color w:val="000000"/>
          <w:kern w:val="0"/>
          <w:sz w:val="28"/>
          <w:szCs w:val="28"/>
        </w:rPr>
        <w:t xml:space="preserve">（投标人在投标文件中提供单独承诺函予以佐证，格式自拟） </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2.保安队长：身高 1.70 米以上，年龄55岁以下，从事队长经验两年以上。</w:t>
      </w:r>
      <w:r>
        <w:rPr>
          <w:rFonts w:hint="eastAsia" w:ascii="仿宋_GB2312" w:hAnsi="仿宋_GB2312" w:eastAsia="仿宋_GB2312" w:cs="仿宋_GB2312"/>
          <w:b/>
          <w:bCs/>
          <w:color w:val="000000"/>
          <w:kern w:val="0"/>
          <w:sz w:val="28"/>
          <w:szCs w:val="28"/>
        </w:rPr>
        <w:t>（投标时提供公安机关颁发的保安人员证和履历经验证明材料）</w:t>
      </w:r>
    </w:p>
    <w:p>
      <w:pPr>
        <w:widowControl/>
        <w:spacing w:line="50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3.东虹院区、金牛院区视频消防监控中心 12 名值班人员除持有公安机关颁发的保安人员证外，还须持有四级及以上消防设施操作员证（或中级及以上建（构）筑物消防员证）。沙河院区视频消防监控中心 3名值班人员除持有公安机关颁发的保安人员证外，还须持有五级及以上消防设施操作员证（或初级及以上建（构）筑物消防员证）。</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4.业务技能要求：具备相关法律法规知识及安保知识和消防知识，具备一定安保应急处置能力。</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（三）岗位配置及其他要求</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1.中标人需根据上表岗位人数、人员标准配置保安队员。</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2.工资不低于每年成都市最低工资水平，并提供相应的劳动保护，费用由中标人负责，保安工作人员与采购人不发生任何人事隶属关系。</w:t>
      </w:r>
    </w:p>
    <w:p>
      <w:pPr>
        <w:widowControl/>
        <w:spacing w:line="50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3.中标人需配合上级政府各监督部门进行的各类安全检查，且要保证合同服务范围内的安全检查项目达标合格。</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4.中标人的人员在</w:t>
      </w:r>
      <w:r>
        <w:rPr>
          <w:rFonts w:hint="eastAsia" w:ascii="仿宋" w:hAnsi="仿宋" w:eastAsia="仿宋" w:cs="仿宋"/>
          <w:sz w:val="28"/>
          <w:szCs w:val="28"/>
        </w:rPr>
        <w:t>工作期间的疾病和人身安全、安全责任事故、劳务纠纷</w:t>
      </w:r>
      <w:r>
        <w:rPr>
          <w:rFonts w:hint="eastAsia" w:ascii="仿宋_GB2312" w:hAnsi="仿宋_GB2312" w:eastAsia="仿宋_GB2312" w:cs="仿宋_GB2312"/>
          <w:color w:val="000000"/>
          <w:kern w:val="0"/>
          <w:sz w:val="28"/>
          <w:szCs w:val="28"/>
        </w:rPr>
        <w:t>等，由中标人承担法律责任和经济赔偿，医院不承担连带责任。</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5.医院不提供保安人员食宿。</w:t>
      </w:r>
    </w:p>
    <w:p>
      <w:pPr>
        <w:widowControl/>
        <w:spacing w:line="500" w:lineRule="exact"/>
        <w:ind w:firstLine="560" w:firstLineChars="200"/>
        <w:jc w:val="left"/>
        <w:rPr>
          <w:rFonts w:ascii="黑体" w:hAnsi="黑体" w:eastAsia="黑体" w:cs="黑体"/>
          <w:sz w:val="28"/>
          <w:szCs w:val="28"/>
        </w:rPr>
      </w:pPr>
      <w:r>
        <w:rPr>
          <w:rFonts w:hint="eastAsia" w:ascii="黑体" w:hAnsi="黑体" w:eastAsia="黑体" w:cs="黑体"/>
          <w:color w:val="000000"/>
          <w:kern w:val="0"/>
          <w:sz w:val="28"/>
          <w:szCs w:val="28"/>
        </w:rPr>
        <w:t>五、其他要求</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（一）中标人自中标通知书发出之日起 20 个工 作日内提供保安人员保安招工备案回执给到采购人查验。</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二）配备的人员未经采购人同意不得随意更换，并书面承诺拟派驻人员与实际派驻项目人员一致。若因特殊原因，须更换原投标文件承诺派遣人员，必须书面向采购人提出申请，经采购人同意后，方可按照不低于原投标文件时拟派遣人员的相应标准更换。如无特殊情况未经采购人批准擅自更换人员的，视同拒绝履行政府采购合同，采购人可解除合同，并将依法追究法律责任。</w:t>
      </w:r>
      <w:r>
        <w:rPr>
          <w:rFonts w:hint="eastAsia" w:ascii="仿宋_GB2312" w:hAnsi="仿宋_GB2312" w:eastAsia="仿宋_GB2312" w:cs="仿宋_GB2312"/>
          <w:b/>
          <w:bCs/>
          <w:color w:val="000000"/>
          <w:kern w:val="0"/>
          <w:sz w:val="28"/>
          <w:szCs w:val="28"/>
        </w:rPr>
        <w:t xml:space="preserve">（供应商在投标文件中提供单独承诺函原件，格式自拟） </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 xml:space="preserve">（三）本项目采取包质量的总价包干形式，包含人员工资福利、人员食宿、社会保险、服装装备、办公用品、医疗防护物资、管理费用、企业利润及税金等全部费用。合同履约期间，投标方应综合考虑，如遇国家或政府的最低工资标准、保险基数以及其它相关费用的调整，采购人不再另行增加费用。 </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（四）入场时间：签订合同后接采购人通知时间为准。</w:t>
      </w:r>
    </w:p>
    <w:p>
      <w:pPr>
        <w:spacing w:line="500" w:lineRule="exact"/>
        <w:ind w:firstLine="560" w:firstLineChars="200"/>
        <w:rPr>
          <w:rFonts w:ascii="黑体" w:hAnsi="黑体" w:eastAsia="黑体" w:cs="黑体"/>
          <w:kern w:val="0"/>
          <w:sz w:val="28"/>
          <w:szCs w:val="28"/>
        </w:rPr>
      </w:pPr>
      <w:r>
        <w:rPr>
          <w:rFonts w:hint="eastAsia" w:ascii="黑体" w:hAnsi="黑体" w:eastAsia="黑体" w:cs="黑体"/>
          <w:kern w:val="0"/>
          <w:sz w:val="28"/>
          <w:szCs w:val="28"/>
        </w:rPr>
        <w:t>六、商务要求</w:t>
      </w:r>
    </w:p>
    <w:p>
      <w:pPr>
        <w:widowControl/>
        <w:ind w:firstLine="560" w:firstLineChars="200"/>
        <w:jc w:val="left"/>
        <w:rPr>
          <w:rFonts w:ascii="仿宋_GB2312" w:hAnsi="仿宋_GB2312" w:eastAsia="仿宋_GB2312" w:cs="仿宋_GB2312"/>
          <w:kern w:val="0"/>
          <w:sz w:val="28"/>
          <w:szCs w:val="28"/>
        </w:rPr>
      </w:pPr>
      <w:r>
        <w:rPr>
          <w:rFonts w:hint="eastAsia" w:ascii="楷体_GB2312" w:hAnsi="楷体_GB2312" w:eastAsia="楷体_GB2312" w:cs="楷体_GB2312"/>
          <w:kern w:val="0"/>
          <w:sz w:val="28"/>
          <w:szCs w:val="28"/>
        </w:rPr>
        <w:t>（一）服务期限</w:t>
      </w:r>
      <w:r>
        <w:rPr>
          <w:rFonts w:hint="eastAsia" w:ascii="仿宋_GB2312" w:hAnsi="仿宋_GB2312" w:eastAsia="仿宋_GB2312" w:cs="仿宋_GB2312"/>
          <w:kern w:val="0"/>
          <w:sz w:val="28"/>
          <w:szCs w:val="28"/>
        </w:rPr>
        <w:t>：服务期三年，合同一年一签，经医院年度考核合格，方可续签下一年度合同。</w:t>
      </w:r>
    </w:p>
    <w:p>
      <w:pPr>
        <w:pStyle w:val="2"/>
        <w:ind w:firstLine="560" w:firstLineChars="200"/>
      </w:pPr>
      <w:r>
        <w:rPr>
          <w:rFonts w:hint="eastAsia" w:ascii="楷体_GB2312" w:hAnsi="楷体_GB2312" w:eastAsia="楷体_GB2312" w:cs="楷体_GB2312"/>
          <w:kern w:val="0"/>
          <w:sz w:val="28"/>
          <w:szCs w:val="28"/>
        </w:rPr>
        <w:t>（二）服务地点：</w:t>
      </w:r>
      <w:r>
        <w:rPr>
          <w:rFonts w:hint="eastAsia" w:ascii="仿宋_GB2312" w:hAnsi="仿宋_GB2312" w:eastAsia="仿宋_GB2312" w:cs="仿宋_GB2312"/>
          <w:kern w:val="0"/>
          <w:sz w:val="28"/>
          <w:szCs w:val="28"/>
        </w:rPr>
        <w:t>沙河院区（成华区建设南街16号）、东虹院区（成华区东虹路39号）、金牛院区（金牛区泉水路369号）、青龙场病区（成华区致强路247号）</w:t>
      </w:r>
    </w:p>
    <w:p>
      <w:pPr>
        <w:spacing w:line="500" w:lineRule="exact"/>
        <w:ind w:firstLine="560" w:firstLineChars="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（三）考核标准及办法</w:t>
      </w:r>
    </w:p>
    <w:p>
      <w:pPr>
        <w:spacing w:line="50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kern w:val="0"/>
          <w:sz w:val="28"/>
          <w:szCs w:val="28"/>
        </w:rPr>
        <w:t>1.考核表</w:t>
      </w:r>
      <w:r>
        <w:rPr>
          <w:rFonts w:hint="eastAsia" w:ascii="仿宋_GB2312" w:hAnsi="仿宋_GB2312" w:eastAsia="仿宋_GB2312" w:cs="仿宋_GB2312"/>
          <w:color w:val="000000"/>
          <w:kern w:val="0"/>
          <w:sz w:val="28"/>
          <w:szCs w:val="28"/>
        </w:rPr>
        <w:t>（双方协商一致后可根据实际情况对行为部分进行适当修改）</w:t>
      </w:r>
    </w:p>
    <w:p>
      <w:pPr>
        <w:pStyle w:val="5"/>
        <w:ind w:firstLine="280"/>
      </w:pPr>
      <w:r>
        <w:rPr>
          <w:rFonts w:hint="eastAsia" w:ascii="仿宋_GB2312" w:hAnsi="仿宋_GB2312" w:eastAsia="仿宋_GB2312" w:cs="仿宋_GB2312"/>
          <w:color w:val="000000"/>
          <w:kern w:val="0"/>
          <w:sz w:val="28"/>
          <w:szCs w:val="28"/>
        </w:rPr>
        <w:t>考核时间：     年   月    日               考核部门：</w:t>
      </w:r>
    </w:p>
    <w:tbl>
      <w:tblPr>
        <w:tblStyle w:val="6"/>
        <w:tblW w:w="8970" w:type="dxa"/>
        <w:tblInd w:w="-144"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2302"/>
        <w:gridCol w:w="1628"/>
        <w:gridCol w:w="1005"/>
        <w:gridCol w:w="3240"/>
        <w:gridCol w:w="79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3930"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8"/>
              <w:spacing w:line="400" w:lineRule="exact"/>
              <w:jc w:val="center"/>
              <w:rPr>
                <w:rFonts w:hint="default" w:ascii="仿宋_GB2312" w:hAnsi="仿宋_GB2312" w:eastAsia="仿宋_GB2312" w:cs="仿宋_GB2312"/>
                <w:sz w:val="24"/>
                <w:szCs w:val="24"/>
              </w:rPr>
            </w:pPr>
            <w:r>
              <w:rPr>
                <w:rFonts w:ascii="仿宋_GB2312" w:hAnsi="仿宋_GB2312" w:eastAsia="仿宋_GB2312" w:cs="仿宋_GB2312"/>
                <w:b/>
                <w:sz w:val="24"/>
                <w:szCs w:val="24"/>
              </w:rPr>
              <w:t>具体考核内容</w:t>
            </w:r>
          </w:p>
        </w:tc>
        <w:tc>
          <w:tcPr>
            <w:tcW w:w="1005"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center"/>
              <w:rPr>
                <w:rFonts w:hint="default" w:ascii="仿宋_GB2312" w:hAnsi="仿宋_GB2312" w:eastAsia="仿宋_GB2312" w:cs="仿宋_GB2312"/>
                <w:sz w:val="24"/>
                <w:szCs w:val="24"/>
              </w:rPr>
            </w:pPr>
            <w:r>
              <w:rPr>
                <w:rFonts w:ascii="仿宋_GB2312" w:hAnsi="仿宋_GB2312" w:eastAsia="仿宋_GB2312" w:cs="仿宋_GB2312"/>
                <w:b/>
                <w:sz w:val="24"/>
                <w:szCs w:val="24"/>
              </w:rPr>
              <w:t>分值</w:t>
            </w:r>
          </w:p>
        </w:tc>
        <w:tc>
          <w:tcPr>
            <w:tcW w:w="3240"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center"/>
              <w:rPr>
                <w:rFonts w:hint="default" w:ascii="仿宋_GB2312" w:hAnsi="仿宋_GB2312" w:eastAsia="仿宋_GB2312" w:cs="仿宋_GB2312"/>
                <w:sz w:val="24"/>
                <w:szCs w:val="24"/>
              </w:rPr>
            </w:pPr>
            <w:r>
              <w:rPr>
                <w:rFonts w:ascii="仿宋_GB2312" w:hAnsi="仿宋_GB2312" w:eastAsia="仿宋_GB2312" w:cs="仿宋_GB2312"/>
                <w:b/>
                <w:sz w:val="24"/>
                <w:szCs w:val="24"/>
              </w:rPr>
              <w:t>扣分标准</w:t>
            </w:r>
          </w:p>
        </w:tc>
        <w:tc>
          <w:tcPr>
            <w:tcW w:w="795"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center"/>
              <w:rPr>
                <w:rFonts w:hint="default" w:ascii="仿宋_GB2312" w:hAnsi="仿宋_GB2312" w:eastAsia="仿宋_GB2312" w:cs="仿宋_GB2312"/>
                <w:sz w:val="24"/>
                <w:szCs w:val="24"/>
              </w:rPr>
            </w:pPr>
            <w:r>
              <w:rPr>
                <w:rFonts w:ascii="仿宋_GB2312" w:hAnsi="仿宋_GB2312" w:eastAsia="仿宋_GB2312" w:cs="仿宋_GB2312"/>
                <w:b/>
                <w:sz w:val="24"/>
                <w:szCs w:val="24"/>
              </w:rPr>
              <w:t>实际得分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30"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严格履行岗位职责，仪表整齐，做好交接班记录。</w:t>
            </w:r>
          </w:p>
        </w:tc>
        <w:tc>
          <w:tcPr>
            <w:tcW w:w="100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5分</w:t>
            </w:r>
          </w:p>
        </w:tc>
        <w:tc>
          <w:tcPr>
            <w:tcW w:w="3240"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发现1人次未履行职责或仪表不整齐扣1分，发现1次未做交接班记录扣1分。</w:t>
            </w:r>
          </w:p>
        </w:tc>
        <w:tc>
          <w:tcPr>
            <w:tcW w:w="79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30"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坚守工作岗位，不干与工作岗位无关的事情（看书报、闲聊等），无队员酒后上岗和未经批准脱离岗位及旷工行为。</w:t>
            </w:r>
          </w:p>
        </w:tc>
        <w:tc>
          <w:tcPr>
            <w:tcW w:w="100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5分</w:t>
            </w:r>
          </w:p>
        </w:tc>
        <w:tc>
          <w:tcPr>
            <w:tcW w:w="3240"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发现1人次在岗位做无关的事扣1分，发现1人次未经批准脱离岗位扣2分，发现1人次酒后上岗或旷工扣分5。</w:t>
            </w:r>
          </w:p>
        </w:tc>
        <w:tc>
          <w:tcPr>
            <w:tcW w:w="79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30"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执勤期间粗暴、无理或行为有损医院形象被投诉。</w:t>
            </w:r>
          </w:p>
        </w:tc>
        <w:tc>
          <w:tcPr>
            <w:tcW w:w="100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10分</w:t>
            </w:r>
          </w:p>
        </w:tc>
        <w:tc>
          <w:tcPr>
            <w:tcW w:w="3240"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被投诉1次扣10分</w:t>
            </w:r>
          </w:p>
        </w:tc>
        <w:tc>
          <w:tcPr>
            <w:tcW w:w="79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30"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加强对医院重点科室和重要岗位的安全守护、巡查，发现安全隐患及时报告并妥善处置。</w:t>
            </w:r>
          </w:p>
        </w:tc>
        <w:tc>
          <w:tcPr>
            <w:tcW w:w="100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10分</w:t>
            </w:r>
          </w:p>
        </w:tc>
        <w:tc>
          <w:tcPr>
            <w:tcW w:w="3240"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发现隐患未及时报告并妥善处理，一次扣2分</w:t>
            </w:r>
          </w:p>
        </w:tc>
        <w:tc>
          <w:tcPr>
            <w:tcW w:w="79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30"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值班时加强对责任区内的巡查，及时提醒医护人员、病员及家属保管好私人财务并做好记录。</w:t>
            </w:r>
          </w:p>
        </w:tc>
        <w:tc>
          <w:tcPr>
            <w:tcW w:w="100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6分</w:t>
            </w:r>
          </w:p>
        </w:tc>
        <w:tc>
          <w:tcPr>
            <w:tcW w:w="3240"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发现一次未提醒或未做记录扣2分</w:t>
            </w:r>
          </w:p>
        </w:tc>
        <w:tc>
          <w:tcPr>
            <w:tcW w:w="79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30"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spacing w:line="400" w:lineRule="exact"/>
              <w:ind w:left="30"/>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责任区域内出现散发、张贴广告和外来叫卖、推销的商贩应及时制止。</w:t>
            </w:r>
          </w:p>
        </w:tc>
        <w:tc>
          <w:tcPr>
            <w:tcW w:w="100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15分</w:t>
            </w:r>
          </w:p>
        </w:tc>
        <w:tc>
          <w:tcPr>
            <w:tcW w:w="3240"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发现一次扣3分</w:t>
            </w:r>
          </w:p>
        </w:tc>
        <w:tc>
          <w:tcPr>
            <w:tcW w:w="79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30"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按规定对责任区内的消防设施、器材进行巡查，确保其完好、有效。</w:t>
            </w:r>
          </w:p>
        </w:tc>
        <w:tc>
          <w:tcPr>
            <w:tcW w:w="100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10分</w:t>
            </w:r>
          </w:p>
        </w:tc>
        <w:tc>
          <w:tcPr>
            <w:tcW w:w="3240"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未认真巡查导致消防设施、器材未完好有效的，发现1次扣2分</w:t>
            </w:r>
          </w:p>
        </w:tc>
        <w:tc>
          <w:tcPr>
            <w:tcW w:w="79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30"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spacing w:line="400" w:lineRule="exact"/>
              <w:ind w:left="30"/>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责任区内发生医患纠纷、治安案件火险火情等紧急情况时队员应及时到达现场并依法依规予以积极妥善处置。</w:t>
            </w:r>
          </w:p>
        </w:tc>
        <w:tc>
          <w:tcPr>
            <w:tcW w:w="100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10分</w:t>
            </w:r>
          </w:p>
        </w:tc>
        <w:tc>
          <w:tcPr>
            <w:tcW w:w="3240"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未能及时到达现场并妥善处置，1次扣10分</w:t>
            </w:r>
          </w:p>
        </w:tc>
        <w:tc>
          <w:tcPr>
            <w:tcW w:w="79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30"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执勤期间应保证通讯畅通，一旦发生紧急情况接到通知后能立即赶往事发地点。</w:t>
            </w:r>
          </w:p>
        </w:tc>
        <w:tc>
          <w:tcPr>
            <w:tcW w:w="100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9分</w:t>
            </w:r>
          </w:p>
        </w:tc>
        <w:tc>
          <w:tcPr>
            <w:tcW w:w="3240"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发现1人次通讯不畅扣1分，1人次未能按要求赶往事发地点扣3分</w:t>
            </w:r>
          </w:p>
        </w:tc>
        <w:tc>
          <w:tcPr>
            <w:tcW w:w="79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30"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人员条件要求及岗位设置均符合招标文件。</w:t>
            </w:r>
          </w:p>
        </w:tc>
        <w:tc>
          <w:tcPr>
            <w:tcW w:w="100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20分</w:t>
            </w:r>
          </w:p>
        </w:tc>
        <w:tc>
          <w:tcPr>
            <w:tcW w:w="3240"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r>
              <w:rPr>
                <w:rFonts w:ascii="仿宋_GB2312" w:hAnsi="仿宋_GB2312" w:eastAsia="仿宋_GB2312" w:cs="仿宋_GB2312"/>
                <w:sz w:val="24"/>
                <w:szCs w:val="24"/>
              </w:rPr>
              <w:t>发现一人次不符合要求或未按要求设置岗位1次扣20分</w:t>
            </w:r>
          </w:p>
        </w:tc>
        <w:tc>
          <w:tcPr>
            <w:tcW w:w="795" w:type="dxa"/>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02"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spacing w:line="400" w:lineRule="exact"/>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总评得分</w:t>
            </w:r>
          </w:p>
        </w:tc>
        <w:tc>
          <w:tcPr>
            <w:tcW w:w="6668" w:type="dxa"/>
            <w:gridSpan w:val="4"/>
            <w:tcBorders>
              <w:top w:val="nil"/>
              <w:left w:val="nil"/>
              <w:bottom w:val="single" w:color="000000" w:sz="4" w:space="0"/>
              <w:right w:val="single" w:color="000000" w:sz="4" w:space="0"/>
            </w:tcBorders>
            <w:tcMar>
              <w:top w:w="0" w:type="dxa"/>
              <w:left w:w="105" w:type="dxa"/>
              <w:bottom w:w="0" w:type="dxa"/>
              <w:right w:w="105" w:type="dxa"/>
            </w:tcMar>
          </w:tcPr>
          <w:p>
            <w:pPr>
              <w:pStyle w:val="8"/>
              <w:spacing w:line="400" w:lineRule="exact"/>
              <w:jc w:val="both"/>
              <w:rPr>
                <w:rFonts w:hint="default" w:ascii="仿宋_GB2312" w:hAnsi="仿宋_GB2312" w:eastAsia="仿宋_GB2312" w:cs="仿宋_GB2312"/>
                <w:sz w:val="24"/>
                <w:szCs w:val="24"/>
              </w:rPr>
            </w:pPr>
          </w:p>
        </w:tc>
      </w:tr>
    </w:tbl>
    <w:p>
      <w:pPr>
        <w:pStyle w:val="2"/>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2.考核结果运用：</w:t>
      </w:r>
    </w:p>
    <w:p>
      <w:pPr>
        <w:pStyle w:val="5"/>
        <w:spacing w:line="500" w:lineRule="exact"/>
        <w:ind w:firstLine="560" w:firstLineChars="200"/>
        <w:rPr>
          <w:rFonts w:ascii="仿宋_GB2312" w:hAnsi="仿宋_GB2312" w:eastAsia="仿宋_GB2312" w:cs="仿宋_GB2312"/>
          <w:kern w:val="0"/>
          <w:sz w:val="28"/>
          <w:szCs w:val="28"/>
        </w:rPr>
      </w:pPr>
      <w:r>
        <w:rPr>
          <w:rFonts w:hint="eastAsia" w:ascii="仿宋" w:hAnsi="仿宋" w:eastAsia="仿宋" w:cs="仿宋"/>
          <w:sz w:val="28"/>
          <w:szCs w:val="28"/>
        </w:rPr>
        <w:t>2.1</w:t>
      </w:r>
      <w:r>
        <w:rPr>
          <w:rFonts w:hint="eastAsia" w:ascii="仿宋_GB2312" w:hAnsi="仿宋_GB2312" w:eastAsia="仿宋_GB2312" w:cs="仿宋_GB2312"/>
          <w:kern w:val="0"/>
          <w:sz w:val="28"/>
          <w:szCs w:val="28"/>
        </w:rPr>
        <w:t>中标供应商在履行合同的过程中，采购人按照《成都市第六人民医院保安服务考核表》按月进行考核。总分100分，当月考核90分及以上为合格，不减扣当月服务费；当月考核80分至89分减扣当月服务费5%；当月考核70分至79分减扣当月服务费扣减15%；当月考核69分及以下减扣当月服务费30%。</w:t>
      </w:r>
    </w:p>
    <w:p>
      <w:pPr>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2.2月度考核评分连续连续3次在80分以下，采购人有权提前终止合同，年度考核平均分数≥85分为合格，方可进行合同续签。</w:t>
      </w:r>
    </w:p>
    <w:p>
      <w:pPr>
        <w:widowControl/>
        <w:spacing w:line="500" w:lineRule="exact"/>
        <w:ind w:firstLine="560" w:firstLineChars="200"/>
        <w:jc w:val="left"/>
        <w:rPr>
          <w:rFonts w:ascii="仿宋" w:hAnsi="仿宋" w:eastAsia="仿宋" w:cs="仿宋"/>
          <w:sz w:val="28"/>
          <w:szCs w:val="28"/>
        </w:rPr>
      </w:pPr>
      <w:r>
        <w:rPr>
          <w:rFonts w:hint="eastAsia" w:ascii="楷体_GB2312" w:hAnsi="楷体_GB2312" w:eastAsia="楷体_GB2312" w:cs="楷体_GB2312"/>
          <w:kern w:val="0"/>
          <w:sz w:val="28"/>
          <w:szCs w:val="28"/>
        </w:rPr>
        <w:t>（四）付款方法和条件:</w:t>
      </w:r>
      <w:r>
        <w:rPr>
          <w:rFonts w:hint="eastAsia" w:ascii="仿宋_GB2312" w:hAnsi="仿宋_GB2312" w:eastAsia="仿宋_GB2312" w:cs="仿宋_GB2312"/>
          <w:kern w:val="0"/>
          <w:sz w:val="28"/>
          <w:szCs w:val="28"/>
        </w:rPr>
        <w:t>按月付款，月度服务结束后，由中标人向采购人提出付款申请并提供发票，采购人收到付款申请后10个工作日内根据考核情况向中标人支付相应当月款项（遇节假日顺延）。</w:t>
      </w:r>
      <w:r>
        <w:rPr>
          <w:rFonts w:hint="eastAsia" w:ascii="仿宋" w:hAnsi="仿宋" w:eastAsia="仿宋" w:cs="仿宋"/>
          <w:sz w:val="28"/>
          <w:szCs w:val="28"/>
        </w:rPr>
        <w:t>如乙方提供服务不足一个月的，则按中标金额（年度）除以 365 天乘以当月实际提供服务的天数计算费用。</w:t>
      </w:r>
    </w:p>
    <w:p>
      <w:pPr>
        <w:pStyle w:val="8"/>
        <w:numPr>
          <w:ilvl w:val="0"/>
          <w:numId w:val="2"/>
        </w:numPr>
        <w:spacing w:line="500" w:lineRule="exact"/>
        <w:rPr>
          <w:rFonts w:hint="default" w:ascii="黑体" w:hAnsi="黑体" w:eastAsia="黑体" w:cs="黑体"/>
          <w:kern w:val="2"/>
          <w:sz w:val="28"/>
          <w:szCs w:val="28"/>
        </w:rPr>
      </w:pPr>
      <w:r>
        <w:rPr>
          <w:rFonts w:ascii="黑体" w:hAnsi="黑体" w:eastAsia="黑体" w:cs="黑体"/>
          <w:kern w:val="2"/>
          <w:sz w:val="28"/>
          <w:szCs w:val="28"/>
        </w:rPr>
        <w:t>违约责任</w:t>
      </w:r>
    </w:p>
    <w:p>
      <w:pPr>
        <w:pStyle w:val="8"/>
        <w:numPr>
          <w:ilvl w:val="0"/>
          <w:numId w:val="3"/>
        </w:numPr>
        <w:spacing w:line="500" w:lineRule="exact"/>
        <w:ind w:firstLine="560" w:firstLineChars="200"/>
        <w:rPr>
          <w:rFonts w:hint="default" w:ascii="仿宋" w:hAnsi="仿宋" w:eastAsia="仿宋" w:cs="仿宋"/>
          <w:kern w:val="2"/>
          <w:sz w:val="28"/>
          <w:szCs w:val="28"/>
        </w:rPr>
      </w:pPr>
      <w:r>
        <w:rPr>
          <w:rFonts w:ascii="仿宋" w:hAnsi="仿宋" w:eastAsia="仿宋" w:cs="仿宋"/>
          <w:kern w:val="2"/>
          <w:sz w:val="28"/>
          <w:szCs w:val="28"/>
        </w:rPr>
        <w:t>供应商违反合同约定，在管理和服务中有徇私舞弊、渎职行为的，采购人有权督促和要求供应商进行整改，并向供应商按造成的经济损失进行双倍处罚和索赔，亦有权终止本合同。</w:t>
      </w:r>
    </w:p>
    <w:p>
      <w:pPr>
        <w:pStyle w:val="8"/>
        <w:numPr>
          <w:ilvl w:val="0"/>
          <w:numId w:val="3"/>
        </w:numPr>
        <w:spacing w:line="500" w:lineRule="exact"/>
        <w:ind w:firstLine="560" w:firstLineChars="200"/>
        <w:rPr>
          <w:rFonts w:hint="default" w:ascii="仿宋" w:hAnsi="仿宋" w:eastAsia="仿宋" w:cs="仿宋"/>
          <w:kern w:val="2"/>
          <w:sz w:val="28"/>
          <w:szCs w:val="28"/>
        </w:rPr>
      </w:pPr>
      <w:r>
        <w:rPr>
          <w:rFonts w:ascii="仿宋" w:hAnsi="仿宋" w:eastAsia="仿宋" w:cs="仿宋"/>
          <w:kern w:val="2"/>
          <w:sz w:val="28"/>
          <w:szCs w:val="28"/>
        </w:rPr>
        <w:t>供应商不得转包或分包。否则视为违约，采购人有权立即解除合同，并按照合同年度总金额的30%向采购人支付违约金，违约金不足以弥补采购人损失的，由供应商补足。</w:t>
      </w:r>
    </w:p>
    <w:p>
      <w:pPr>
        <w:pStyle w:val="8"/>
        <w:numPr>
          <w:ilvl w:val="0"/>
          <w:numId w:val="3"/>
        </w:numPr>
        <w:spacing w:line="500" w:lineRule="exact"/>
        <w:ind w:firstLine="560" w:firstLineChars="200"/>
        <w:rPr>
          <w:rFonts w:hint="default" w:ascii="仿宋" w:hAnsi="仿宋" w:eastAsia="仿宋" w:cs="仿宋"/>
          <w:kern w:val="2"/>
          <w:sz w:val="28"/>
          <w:szCs w:val="28"/>
        </w:rPr>
      </w:pPr>
      <w:r>
        <w:rPr>
          <w:rFonts w:ascii="仿宋" w:hAnsi="仿宋" w:eastAsia="仿宋" w:cs="仿宋"/>
          <w:kern w:val="2"/>
          <w:sz w:val="28"/>
          <w:szCs w:val="28"/>
        </w:rPr>
        <w:t>因履行本合同产生的任何纠纷，双方应通过协商或诉讼解决，不允许采取包括阻扰、破坏正常办公秩序、拒不搬离或不交接等办法。供应商有上述行为，采购人有权要求供应商按照本合同年度总金额的10%支付违约金。</w:t>
      </w:r>
    </w:p>
    <w:p>
      <w:pPr>
        <w:pStyle w:val="8"/>
        <w:numPr>
          <w:ilvl w:val="0"/>
          <w:numId w:val="3"/>
        </w:numPr>
        <w:spacing w:line="500" w:lineRule="exact"/>
        <w:ind w:firstLine="560" w:firstLineChars="200"/>
        <w:rPr>
          <w:rFonts w:hint="default" w:ascii="仿宋" w:hAnsi="仿宋" w:eastAsia="仿宋" w:cs="仿宋"/>
          <w:kern w:val="2"/>
          <w:sz w:val="28"/>
          <w:szCs w:val="28"/>
        </w:rPr>
      </w:pPr>
      <w:r>
        <w:rPr>
          <w:rFonts w:ascii="仿宋" w:hAnsi="仿宋" w:eastAsia="仿宋" w:cs="仿宋"/>
          <w:kern w:val="2"/>
          <w:sz w:val="28"/>
          <w:szCs w:val="28"/>
        </w:rPr>
        <w:t>供应商拒不向采购人提交违约金、赔偿款的，采购人有权从应付款中优先扣除后，支付余款。</w:t>
      </w:r>
    </w:p>
    <w:p>
      <w:pPr>
        <w:pStyle w:val="8"/>
        <w:numPr>
          <w:ilvl w:val="0"/>
          <w:numId w:val="3"/>
        </w:numPr>
        <w:spacing w:line="500" w:lineRule="exact"/>
        <w:ind w:firstLine="560" w:firstLineChars="200"/>
        <w:rPr>
          <w:rFonts w:hint="default" w:ascii="仿宋" w:hAnsi="仿宋" w:eastAsia="仿宋" w:cs="仿宋"/>
          <w:kern w:val="2"/>
          <w:sz w:val="28"/>
          <w:szCs w:val="28"/>
        </w:rPr>
      </w:pPr>
      <w:r>
        <w:rPr>
          <w:rFonts w:ascii="仿宋" w:hAnsi="仿宋" w:eastAsia="仿宋" w:cs="仿宋"/>
          <w:kern w:val="2"/>
          <w:sz w:val="28"/>
          <w:szCs w:val="28"/>
        </w:rPr>
        <w:t>由于供应商原因造成签订合同后7日内未入场，供应商应当承担违约责任。每逾期1日，供应商按照中标总金额的1%支付违约金，由此给采购人造成损失的，供应商还应当负责向采购人赔偿损失。</w:t>
      </w:r>
    </w:p>
    <w:p>
      <w:pPr>
        <w:pStyle w:val="8"/>
        <w:numPr>
          <w:ilvl w:val="0"/>
          <w:numId w:val="3"/>
        </w:numPr>
        <w:spacing w:line="500" w:lineRule="exact"/>
        <w:ind w:firstLine="560" w:firstLineChars="200"/>
        <w:rPr>
          <w:rFonts w:hint="default" w:ascii="仿宋" w:hAnsi="仿宋" w:eastAsia="仿宋" w:cs="仿宋"/>
          <w:kern w:val="2"/>
          <w:sz w:val="28"/>
          <w:szCs w:val="28"/>
        </w:rPr>
      </w:pPr>
      <w:r>
        <w:rPr>
          <w:rFonts w:ascii="仿宋" w:hAnsi="仿宋" w:eastAsia="仿宋" w:cs="仿宋"/>
          <w:kern w:val="2"/>
          <w:sz w:val="28"/>
          <w:szCs w:val="28"/>
        </w:rPr>
        <w:t>因采购人原因逾期退还履约保证金（若涉及）的，除应及时退还，还应向供应商支付未退还金额万分之五/天的违约金。</w:t>
      </w:r>
    </w:p>
    <w:p>
      <w:pPr>
        <w:pStyle w:val="8"/>
        <w:numPr>
          <w:ilvl w:val="0"/>
          <w:numId w:val="3"/>
        </w:numPr>
        <w:spacing w:line="500" w:lineRule="exact"/>
        <w:ind w:firstLine="560" w:firstLineChars="200"/>
        <w:rPr>
          <w:rFonts w:hint="default" w:ascii="仿宋" w:hAnsi="仿宋" w:eastAsia="仿宋" w:cs="仿宋"/>
          <w:kern w:val="2"/>
          <w:sz w:val="28"/>
          <w:szCs w:val="28"/>
        </w:rPr>
      </w:pPr>
      <w:r>
        <w:rPr>
          <w:rFonts w:ascii="仿宋" w:hAnsi="仿宋" w:eastAsia="仿宋" w:cs="仿宋"/>
          <w:kern w:val="2"/>
          <w:sz w:val="28"/>
          <w:szCs w:val="28"/>
        </w:rPr>
        <w:t>因采购人原因逾期付款的，除应及时退还，还应向供应商支付未付款金额的万分之五/天的违约金。</w:t>
      </w:r>
    </w:p>
    <w:p>
      <w:pPr>
        <w:pStyle w:val="8"/>
        <w:numPr>
          <w:ilvl w:val="0"/>
          <w:numId w:val="3"/>
        </w:numPr>
        <w:spacing w:line="500" w:lineRule="exact"/>
        <w:ind w:firstLine="560" w:firstLineChars="200"/>
        <w:rPr>
          <w:rFonts w:hint="default" w:ascii="仿宋" w:hAnsi="仿宋" w:eastAsia="仿宋" w:cs="仿宋"/>
          <w:kern w:val="2"/>
          <w:sz w:val="28"/>
          <w:szCs w:val="28"/>
        </w:rPr>
      </w:pPr>
      <w:r>
        <w:rPr>
          <w:rFonts w:ascii="仿宋" w:hAnsi="仿宋" w:eastAsia="仿宋" w:cs="仿宋"/>
          <w:kern w:val="2"/>
          <w:sz w:val="28"/>
          <w:szCs w:val="28"/>
        </w:rPr>
        <w:t>因采购人原因导致变更、中止政府采购合同的，采购人应当依照合同约定对供应商受到的损失予以赔偿或者补偿。</w:t>
      </w:r>
    </w:p>
    <w:p>
      <w:pPr>
        <w:pStyle w:val="8"/>
        <w:numPr>
          <w:ilvl w:val="0"/>
          <w:numId w:val="3"/>
        </w:numPr>
        <w:spacing w:line="500" w:lineRule="exact"/>
        <w:ind w:firstLine="560" w:firstLineChars="200"/>
        <w:rPr>
          <w:rFonts w:hint="default" w:ascii="仿宋" w:hAnsi="仿宋" w:eastAsia="仿宋" w:cs="仿宋"/>
          <w:kern w:val="2"/>
          <w:sz w:val="28"/>
          <w:szCs w:val="28"/>
        </w:rPr>
      </w:pPr>
      <w:r>
        <w:rPr>
          <w:rFonts w:ascii="仿宋" w:hAnsi="仿宋" w:eastAsia="仿宋" w:cs="仿宋"/>
          <w:kern w:val="2"/>
          <w:sz w:val="28"/>
          <w:szCs w:val="28"/>
        </w:rPr>
        <w:t>如因供应商工作人员在履行合同义务过程中的的疏忽、失职、过错等故意或者过失原因给采购人造成损失或侵害，包括但不限于采购人本身的财产损失、由此而导致的采购人对任何第三方的法律责任等，供应商对此均应承担全部的赔偿责任。</w:t>
      </w:r>
    </w:p>
    <w:p>
      <w:pPr>
        <w:pStyle w:val="8"/>
        <w:spacing w:line="500" w:lineRule="exact"/>
        <w:ind w:firstLine="560" w:firstLineChars="200"/>
        <w:rPr>
          <w:rFonts w:hint="default" w:ascii="黑体" w:hAnsi="黑体" w:eastAsia="黑体" w:cs="黑体"/>
          <w:kern w:val="2"/>
          <w:sz w:val="28"/>
          <w:szCs w:val="28"/>
        </w:rPr>
      </w:pPr>
      <w:r>
        <w:rPr>
          <w:rFonts w:ascii="黑体" w:hAnsi="黑体" w:eastAsia="黑体" w:cs="黑体"/>
          <w:kern w:val="2"/>
          <w:sz w:val="28"/>
          <w:szCs w:val="28"/>
        </w:rPr>
        <w:t>八、解决争议的方式</w:t>
      </w:r>
    </w:p>
    <w:p>
      <w:pPr>
        <w:pStyle w:val="8"/>
        <w:spacing w:line="500" w:lineRule="exact"/>
        <w:ind w:firstLine="560" w:firstLineChars="200"/>
        <w:rPr>
          <w:rFonts w:hint="default" w:ascii="仿宋" w:hAnsi="仿宋" w:eastAsia="仿宋" w:cs="仿宋"/>
          <w:kern w:val="2"/>
          <w:sz w:val="28"/>
          <w:szCs w:val="28"/>
        </w:rPr>
      </w:pPr>
      <w:r>
        <w:rPr>
          <w:rFonts w:ascii="仿宋" w:hAnsi="仿宋" w:eastAsia="仿宋" w:cs="仿宋"/>
          <w:kern w:val="2"/>
          <w:sz w:val="28"/>
          <w:szCs w:val="28"/>
        </w:rPr>
        <w:t>双方因履行合同发生争议时，应友好协商；如协商未果，双方约定由本合同履行地人民法院管辖。本合同履行地为采购人住所地。</w:t>
      </w:r>
    </w:p>
    <w:p>
      <w:pPr>
        <w:pStyle w:val="2"/>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C5F461"/>
    <w:multiLevelType w:val="singleLevel"/>
    <w:tmpl w:val="95C5F461"/>
    <w:lvl w:ilvl="0" w:tentative="0">
      <w:start w:val="1"/>
      <w:numFmt w:val="chineseCounting"/>
      <w:suff w:val="nothing"/>
      <w:lvlText w:val="（%1）"/>
      <w:lvlJc w:val="left"/>
      <w:pPr>
        <w:ind w:left="0" w:firstLine="420"/>
      </w:pPr>
      <w:rPr>
        <w:rFonts w:hint="eastAsia"/>
      </w:rPr>
    </w:lvl>
  </w:abstractNum>
  <w:abstractNum w:abstractNumId="1">
    <w:nsid w:val="FE0B640F"/>
    <w:multiLevelType w:val="singleLevel"/>
    <w:tmpl w:val="FE0B640F"/>
    <w:lvl w:ilvl="0" w:tentative="0">
      <w:start w:val="1"/>
      <w:numFmt w:val="chineseCounting"/>
      <w:suff w:val="nothing"/>
      <w:lvlText w:val="（%1）"/>
      <w:lvlJc w:val="left"/>
      <w:rPr>
        <w:rFonts w:hint="eastAsia"/>
      </w:rPr>
    </w:lvl>
  </w:abstractNum>
  <w:abstractNum w:abstractNumId="2">
    <w:nsid w:val="5521F1F9"/>
    <w:multiLevelType w:val="singleLevel"/>
    <w:tmpl w:val="5521F1F9"/>
    <w:lvl w:ilvl="0" w:tentative="0">
      <w:start w:val="7"/>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U3NTcwZGFkMmM0MDNiZjcxZDJhNDk4Yjk1NzhiYTIifQ=="/>
  </w:docVars>
  <w:rsids>
    <w:rsidRoot w:val="00405DB6"/>
    <w:rsid w:val="001442C9"/>
    <w:rsid w:val="00170D48"/>
    <w:rsid w:val="00183FFE"/>
    <w:rsid w:val="002E14E9"/>
    <w:rsid w:val="00405DB6"/>
    <w:rsid w:val="00590E87"/>
    <w:rsid w:val="005D4D4E"/>
    <w:rsid w:val="00633078"/>
    <w:rsid w:val="007B51FA"/>
    <w:rsid w:val="008D69C2"/>
    <w:rsid w:val="00980FC5"/>
    <w:rsid w:val="009E3AC6"/>
    <w:rsid w:val="00ED10F6"/>
    <w:rsid w:val="00EF4A5C"/>
    <w:rsid w:val="00F122CF"/>
    <w:rsid w:val="00F91D00"/>
    <w:rsid w:val="0C712543"/>
    <w:rsid w:val="0C8902FE"/>
    <w:rsid w:val="0E684E15"/>
    <w:rsid w:val="1AC93847"/>
    <w:rsid w:val="1D761955"/>
    <w:rsid w:val="27FA1509"/>
    <w:rsid w:val="315F337D"/>
    <w:rsid w:val="347B28BA"/>
    <w:rsid w:val="54763D27"/>
    <w:rsid w:val="597D7378"/>
    <w:rsid w:val="690E3002"/>
    <w:rsid w:val="72EC55A6"/>
    <w:rsid w:val="7D312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rPr>
      <w:rFonts w:ascii="隶书"/>
    </w:rPr>
  </w:style>
  <w:style w:type="paragraph" w:styleId="3">
    <w:name w:val="footer"/>
    <w:basedOn w:val="1"/>
    <w:link w:val="10"/>
    <w:autoRedefine/>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autoRedefine/>
    <w:semiHidden/>
    <w:unhideWhenUsed/>
    <w:qFormat/>
    <w:uiPriority w:val="99"/>
    <w:pPr>
      <w:ind w:firstLine="420" w:firstLineChars="100"/>
    </w:pPr>
    <w:rPr>
      <w:rFonts w:asciiTheme="minorHAnsi"/>
      <w:szCs w:val="22"/>
    </w:rPr>
  </w:style>
  <w:style w:type="paragraph" w:customStyle="1" w:styleId="8">
    <w:name w:val="null3"/>
    <w:autoRedefine/>
    <w:hidden/>
    <w:qFormat/>
    <w:uiPriority w:val="0"/>
    <w:rPr>
      <w:rFonts w:hint="eastAsia" w:asciiTheme="minorHAnsi" w:hAnsiTheme="minorHAnsi" w:eastAsiaTheme="minorEastAsia" w:cstheme="minorBidi"/>
      <w:lang w:val="en-US" w:eastAsia="zh-CN" w:bidi="ar-SA"/>
    </w:rPr>
  </w:style>
  <w:style w:type="character" w:customStyle="1" w:styleId="9">
    <w:name w:val="页眉 Char"/>
    <w:basedOn w:val="7"/>
    <w:link w:val="4"/>
    <w:autoRedefine/>
    <w:qFormat/>
    <w:uiPriority w:val="0"/>
    <w:rPr>
      <w:rFonts w:asciiTheme="minorHAnsi" w:hAnsiTheme="minorHAnsi" w:eastAsiaTheme="minorEastAsia" w:cstheme="minorBidi"/>
      <w:kern w:val="2"/>
      <w:sz w:val="18"/>
      <w:szCs w:val="18"/>
    </w:rPr>
  </w:style>
  <w:style w:type="character" w:customStyle="1" w:styleId="10">
    <w:name w:val="页脚 Char"/>
    <w:basedOn w:val="7"/>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912</Words>
  <Characters>5200</Characters>
  <Lines>43</Lines>
  <Paragraphs>12</Paragraphs>
  <TotalTime>212</TotalTime>
  <ScaleCrop>false</ScaleCrop>
  <LinksUpToDate>false</LinksUpToDate>
  <CharactersWithSpaces>6100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付义</cp:lastModifiedBy>
  <dcterms:modified xsi:type="dcterms:W3CDTF">2024-02-29T08:14:49Z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BC38B53BE4224B36AA8EE919E0B8A13D_12</vt:lpwstr>
  </property>
</Properties>
</file>